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631"/>
        <w:gridCol w:w="7724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ind w:left="5670" w:hanging="1254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З</w:t>
            </w:r>
            <w:r>
              <w:rPr>
                <w:color w:val="000000"/>
              </w:rPr>
              <w:t xml:space="preserve">аместител</w:t>
            </w:r>
            <w:r>
              <w:rPr>
                <w:color w:val="000000"/>
              </w:rPr>
              <w:t xml:space="preserve">ь</w:t>
            </w:r>
            <w:r>
              <w:rPr>
                <w:color w:val="000000"/>
              </w:rPr>
              <w:t xml:space="preserve"> директора –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главн</w:t>
            </w:r>
            <w:r>
              <w:rPr>
                <w:color w:val="000000"/>
              </w:rPr>
              <w:t xml:space="preserve">ый</w:t>
            </w:r>
            <w:r>
              <w:rPr>
                <w:color w:val="000000"/>
              </w:rPr>
              <w:t xml:space="preserve"> инженер филиала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ПАО «</w:t>
            </w:r>
            <w:r>
              <w:rPr>
                <w:color w:val="000000"/>
              </w:rPr>
              <w:t xml:space="preserve">Россети</w:t>
            </w:r>
            <w:r>
              <w:rPr>
                <w:color w:val="000000"/>
              </w:rPr>
              <w:t xml:space="preserve"> Урал» 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Свердловэнерго</w:t>
            </w:r>
            <w:r>
              <w:rPr>
                <w:color w:val="000000"/>
              </w:rPr>
              <w:t xml:space="preserve">»_</w:t>
            </w:r>
            <w:r>
              <w:rPr>
                <w:color w:val="000000"/>
              </w:rPr>
              <w:t xml:space="preserve">_____</w:t>
            </w:r>
            <w:r>
              <w:rPr>
                <w:color w:val="000000"/>
              </w:rPr>
              <w:t xml:space="preserve">___</w:t>
            </w:r>
            <w:r>
              <w:rPr>
                <w:color w:val="000000"/>
              </w:rPr>
              <w:t xml:space="preserve">_ </w:t>
            </w:r>
            <w:r>
              <w:rPr>
                <w:color w:val="000000"/>
              </w:rPr>
              <w:t xml:space="preserve">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0" w:hanging="1254"/>
              <w:rPr>
                <w:color w:val="000000"/>
              </w:rPr>
            </w:pPr>
            <w:r>
              <w:rPr>
                <w:color w:val="000000"/>
              </w:rPr>
              <w:t xml:space="preserve">__________Е.А. Мальцев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                                                                       </w:t>
            </w:r>
            <w:r>
              <w:rPr>
                <w:color w:val="000000"/>
              </w:rPr>
              <w:t xml:space="preserve">« _</w:t>
            </w:r>
            <w:r>
              <w:rPr>
                <w:color w:val="000000"/>
              </w:rPr>
              <w:t xml:space="preserve">_ 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____________ 20</w:t>
            </w:r>
            <w:r>
              <w:rPr>
                <w:color w:val="000000"/>
              </w:rPr>
              <w:t xml:space="preserve">26 </w:t>
            </w:r>
            <w:r>
              <w:rPr>
                <w:color w:val="000000"/>
              </w:rPr>
              <w:t xml:space="preserve">г.</w:t>
            </w:r>
            <w:r/>
          </w:p>
          <w:p>
            <w:pPr>
              <w:jc w:val="right"/>
            </w:pPr>
            <w:r/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783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7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организации и проведения сравнения цен в электронной форме, участниками которог</w:t>
      </w:r>
      <w:r>
        <w:rPr>
          <w:b/>
          <w:sz w:val="28"/>
          <w:szCs w:val="28"/>
        </w:rPr>
        <w:t xml:space="preserve">о могут быть </w:t>
      </w:r>
      <w:r>
        <w:rPr>
          <w:b/>
          <w:sz w:val="28"/>
          <w:szCs w:val="28"/>
        </w:rPr>
        <w:t xml:space="preserve">только субъекты МСП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0"/>
        <w:jc w:val="center"/>
        <w:rPr>
          <w:b/>
        </w:rPr>
      </w:pPr>
      <w:r>
        <w:rPr>
          <w:b/>
        </w:rPr>
        <w:t xml:space="preserve">на право заключения </w:t>
      </w:r>
      <w:r>
        <w:rPr>
          <w:b/>
        </w:rPr>
        <w:t xml:space="preserve">договора на </w:t>
      </w:r>
      <w:r>
        <w:rPr>
          <w:b/>
        </w:rPr>
        <w:t xml:space="preserve">о</w:t>
      </w:r>
      <w:r>
        <w:rPr>
          <w:b/>
        </w:rPr>
        <w:t xml:space="preserve">казание услуг </w:t>
      </w:r>
      <w:r>
        <w:rPr>
          <w:b/>
        </w:rPr>
        <w:t xml:space="preserve">по обезвреживанию, размещению отходов 3,4 кл. опасности(покрышки, ветоши, песка, опила, масляных фильтров) </w:t>
      </w:r>
      <w:r>
        <w:rPr>
          <w:b/>
        </w:rPr>
        <w:t xml:space="preserve"> ПО</w:t>
      </w:r>
      <w:r>
        <w:rPr>
          <w:b/>
        </w:rPr>
        <w:t xml:space="preserve"> </w:t>
      </w:r>
      <w:r>
        <w:rPr>
          <w:b/>
        </w:rPr>
        <w:t xml:space="preserve">ЦентральныеЭС</w:t>
      </w:r>
      <w:r>
        <w:rPr>
          <w:b/>
        </w:rPr>
      </w:r>
      <w:r>
        <w:rPr>
          <w:b/>
        </w:rPr>
      </w:r>
    </w:p>
    <w:p>
      <w:pPr>
        <w:pStyle w:val="970"/>
      </w:pPr>
      <w:r/>
      <w:r/>
    </w:p>
    <w:p>
      <w:pPr>
        <w:pStyle w:val="970"/>
      </w:pPr>
      <w:r/>
      <w:r/>
    </w:p>
    <w:p>
      <w:pPr>
        <w:pStyle w:val="970"/>
      </w:pPr>
      <w:r/>
      <w:r/>
    </w:p>
    <w:p>
      <w:pPr>
        <w:pStyle w:val="970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</w:t>
      </w:r>
      <w:r>
        <w:rPr>
          <w:b/>
        </w:rPr>
        <w:t xml:space="preserve">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783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сравнения цен в электронной форме, участниками которого могут быть </w:t>
      </w:r>
      <w:r>
        <w:rPr>
          <w:i w:val="0"/>
          <w:sz w:val="24"/>
          <w:szCs w:val="24"/>
        </w:rPr>
        <w:t xml:space="preserve">любые </w:t>
      </w:r>
      <w:r>
        <w:rPr>
          <w:i w:val="0"/>
          <w:sz w:val="24"/>
          <w:szCs w:val="24"/>
        </w:rPr>
        <w:t xml:space="preserve">лица</w:t>
      </w:r>
      <w:r>
        <w:rPr>
          <w:i w:val="0"/>
          <w:sz w:val="24"/>
          <w:szCs w:val="24"/>
        </w:rPr>
        <w:t xml:space="preserve">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pStyle w:val="970"/>
        <w:jc w:val="both"/>
        <w:tabs>
          <w:tab w:val="left" w:pos="709" w:leader="none"/>
        </w:tabs>
      </w:pPr>
      <w:r>
        <w:t xml:space="preserve">1.1. Право заключения договора на </w:t>
      </w:r>
      <w:r>
        <w:t xml:space="preserve">о</w:t>
      </w:r>
      <w:r>
        <w:t xml:space="preserve">казание услуг по </w:t>
      </w:r>
      <w:r>
        <w:t xml:space="preserve">Обезвреживанию, размещению  отходов 3,4  кл.опасности (покрышки,  ветоши, песка, опила, масляных фильтров) ПО Центральные ЭС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            План закупок 2024, закупка № </w:t>
      </w:r>
      <w:r>
        <w:t xml:space="preserve">58085</w:t>
      </w:r>
      <w:r>
        <w:t xml:space="preserve"> лот № </w:t>
      </w:r>
      <w:r>
        <w:t xml:space="preserve">58085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ПАО «Россети Урал» (филиал «Свердловэнерго»).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работ/оказания услуг: 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3969"/>
      </w:tblGrid>
      <w:tr>
        <w:tblPrEx/>
        <w:trPr/>
        <w:tc>
          <w:tcPr>
            <w:tcW w:w="54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r>
              <w:t xml:space="preserve">Наименование подразделений филиала ПАО «Россети Урал» - «Свердловэнерго»</w:t>
            </w:r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Адреса </w:t>
            </w:r>
            <w:r>
              <w:t xml:space="preserve">промплощадок</w:t>
            </w:r>
            <w:r/>
          </w:p>
        </w:tc>
      </w:tr>
      <w:tr>
        <w:tblPrEx/>
        <w:trPr/>
        <w:tc>
          <w:tcPr>
            <w:tcW w:w="540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Центральные ЭС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210"/>
        </w:trPr>
        <w:tc>
          <w:tcPr>
            <w:tcW w:w="540" w:type="dxa"/>
            <w:vAlign w:val="center"/>
            <w:textDirection w:val="lrTb"/>
            <w:noWrap w:val="false"/>
          </w:tcPr>
          <w:p>
            <w:pPr>
              <w:pStyle w:val="1011"/>
              <w:numPr>
                <w:ilvl w:val="0"/>
                <w:numId w:val="29"/>
              </w:numPr>
              <w:ind w:left="0" w:right="12" w:firstLine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708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SimSun"/>
                <w:color w:val="000000"/>
                <w:spacing w:val="-1"/>
                <w:szCs w:val="28"/>
              </w:rPr>
            </w:pPr>
            <w:r>
              <w:rPr>
                <w:rFonts w:eastAsia="SimSun"/>
                <w:color w:val="000000"/>
                <w:spacing w:val="-1"/>
                <w:szCs w:val="28"/>
              </w:rPr>
              <w:t xml:space="preserve">ПО «Центральные электрические сети» филиала ПАО ««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Россети Урал» - «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Свердловэнего</w:t>
            </w:r>
            <w:r>
              <w:rPr>
                <w:rFonts w:eastAsia="SimSun"/>
                <w:color w:val="000000"/>
                <w:spacing w:val="-1"/>
                <w:szCs w:val="28"/>
              </w:rPr>
              <w:t xml:space="preserve">»</w:t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SimSun"/>
                <w:color w:val="000000"/>
                <w:spacing w:val="-1"/>
                <w:szCs w:val="28"/>
              </w:rPr>
            </w:pPr>
            <w:r>
              <w:rPr>
                <w:rFonts w:eastAsia="SimSun"/>
                <w:color w:val="000000"/>
                <w:spacing w:val="-1"/>
                <w:szCs w:val="28"/>
              </w:rPr>
              <w:t xml:space="preserve">г. Екатеринбург, ул. Шефская 3А</w:t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  <w:r>
              <w:rPr>
                <w:rFonts w:eastAsia="SimSun"/>
                <w:color w:val="000000"/>
                <w:spacing w:val="-1"/>
                <w:szCs w:val="28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работ/оказания услуг: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Начало – с момента заключения договора;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- 30.12.2026</w:t>
      </w:r>
      <w:r>
        <w:t xml:space="preserve"> 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pPr w:horzAnchor="margin" w:tblpX="-352" w:vertAnchor="text" w:tblpY="320" w:leftFromText="180" w:topFromText="0" w:rightFromText="180" w:bottomFromText="0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4394"/>
        <w:gridCol w:w="1559"/>
        <w:gridCol w:w="1701"/>
        <w:gridCol w:w="1701"/>
      </w:tblGrid>
      <w:tr>
        <w:tblPrEx/>
        <w:trPr>
          <w:trHeight w:val="7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НДС,  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2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9" w:type="dxa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58085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textDirection w:val="lrTb"/>
            <w:noWrap/>
          </w:tcPr>
          <w:p>
            <w:r>
              <w:t xml:space="preserve">Оказание услуг </w:t>
            </w:r>
            <w:r>
              <w:t xml:space="preserve">по утилизации отработанных шин автомобильных ПО ЦЭС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50 580,00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38.22.29.000</w:t>
            </w:r>
            <w:r/>
          </w:p>
        </w:tc>
      </w:tr>
    </w:tbl>
    <w:p>
      <w:pPr>
        <w:ind w:left="0" w:right="0" w:firstLine="450"/>
        <w:jc w:val="both"/>
        <w:tabs>
          <w:tab w:val="left" w:pos="709" w:leader="none"/>
        </w:tabs>
        <w:rPr>
          <w:b/>
          <w:bCs/>
        </w:rPr>
      </w:pPr>
      <w:r>
        <w:rPr>
          <w:b/>
          <w:bCs/>
        </w:rPr>
      </w:r>
      <w:r>
        <w:t xml:space="preserve">  Начальная (максимальная) </w:t>
      </w:r>
      <w:r>
        <w:t xml:space="preserve">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Условия оплаты. </w:t>
      </w:r>
      <w:r/>
    </w:p>
    <w:p>
      <w:pPr>
        <w:jc w:val="both"/>
        <w:tabs>
          <w:tab w:val="left" w:pos="709" w:leader="none"/>
        </w:tabs>
      </w:pPr>
      <w:r>
        <w:t xml:space="preserve">        </w:t>
      </w:r>
      <w: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 </w:t>
      </w:r>
      <w: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</w:rPr>
        <w:t xml:space="preserve">в соответствии с п.</w:t>
      </w:r>
      <w:r>
        <w:rPr>
          <w:iCs/>
        </w:rPr>
        <w:t xml:space="preserve">2.2.</w:t>
      </w:r>
      <w:r>
        <w:rPr>
          <w:iCs/>
        </w:rPr>
        <w:t xml:space="preserve"> Договора (Приложение №</w:t>
      </w:r>
      <w:r>
        <w:rPr>
          <w:iCs/>
        </w:rPr>
        <w:t xml:space="preserve"> 2</w:t>
      </w:r>
      <w:r>
        <w:rPr>
          <w:iCs/>
        </w:rPr>
        <w:t xml:space="preserve"> к настоящему ТЗ).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 организации и оказанию услуг: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Услуги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Договором оказания услуг (Приложение № 2 к настоящему ТЗ),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0" w:leader="none"/>
        </w:tabs>
      </w:pPr>
      <w:r>
        <w:t xml:space="preserve">Услуги</w:t>
      </w:r>
      <w:r>
        <w:t xml:space="preserve"> должны быть выполнены с соблюдением требований, действующих РД, СП, СНиП, требованиями ПУЭ, действующим </w:t>
      </w:r>
      <w:r>
        <w:t xml:space="preserve">природоохранным </w:t>
      </w:r>
      <w:r>
        <w:t xml:space="preserve">законод</w:t>
      </w:r>
      <w:r>
        <w:t xml:space="preserve">ательством Российской Федерации, в соответствии с Лицензией по </w:t>
      </w:r>
      <w:r>
        <w:rPr>
          <w:color w:val="333333"/>
          <w:shd w:val="clear" w:color="auto" w:fill="ffffff"/>
        </w:rPr>
        <w:t xml:space="preserve">сбору, транспортированию, обработке, утилизации, обезвреживанию, размещению отходов I - IV классов опасности</w:t>
      </w:r>
      <w:r>
        <w:t xml:space="preserve">.</w:t>
      </w:r>
      <w:r/>
    </w:p>
    <w:p>
      <w:pPr>
        <w:pStyle w:val="971"/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п.5.1.4. Договора (Приложение № 2 к настоящему ТЗ)</w:t>
      </w:r>
      <w:r>
        <w:rPr>
          <w:iCs/>
          <w:highlight w:val="none"/>
        </w:rPr>
        <w:t xml:space="preserve">.</w:t>
      </w:r>
      <w:r/>
    </w:p>
    <w:p>
      <w:pPr>
        <w:ind w:left="0" w:firstLine="0"/>
        <w:jc w:val="both"/>
        <w:tabs>
          <w:tab w:val="left" w:pos="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tabs>
          <w:tab w:val="left" w:pos="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99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00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1001"/>
        <w:numPr>
          <w:ilvl w:val="0"/>
          <w:numId w:val="0"/>
        </w:numPr>
        <w:spacing w:before="0" w:after="0"/>
        <w:rPr>
          <w:sz w:val="20"/>
          <w:lang w:eastAsia="ja-JP"/>
        </w:rPr>
      </w:pPr>
      <w:r>
        <w:rPr>
          <w:lang w:eastAsia="ja-JP"/>
        </w:rPr>
        <w:t xml:space="preserve">2.1.</w:t>
      </w:r>
      <w:r>
        <w:rPr>
          <w:lang w:eastAsia="ja-JP"/>
        </w:rPr>
        <w:t xml:space="preserve">1.</w:t>
      </w:r>
      <w:r>
        <w:rPr>
          <w:lang w:eastAsia="ja-JP"/>
        </w:rPr>
        <w:t xml:space="preserve">Техническое</w:t>
      </w:r>
      <w:r>
        <w:rPr>
          <w:lang w:eastAsia="ja-JP"/>
        </w:rPr>
        <w:t xml:space="preserve">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</w:t>
      </w:r>
      <w:r>
        <w:t xml:space="preserve">«Техническая часть» Документации).</w:t>
      </w:r>
      <w:r>
        <w:rPr>
          <w:sz w:val="20"/>
          <w:lang w:eastAsia="ja-JP"/>
        </w:rPr>
      </w:r>
      <w:r>
        <w:rPr>
          <w:sz w:val="20"/>
          <w:lang w:eastAsia="ja-JP"/>
        </w:rPr>
      </w:r>
    </w:p>
    <w:p>
      <w:pPr>
        <w:pStyle w:val="1001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2.1.2. </w:t>
      </w:r>
      <w:r>
        <w:rPr>
          <w:rFonts w:eastAsia="MS Mincho"/>
          <w:lang w:eastAsia="ja-JP"/>
        </w:rPr>
        <w:t xml:space="preserve">Иметь в составе заявки комплект документов, перечисленный в п.3 </w:t>
      </w:r>
      <w:r>
        <w:t xml:space="preserve">настоящего </w:t>
      </w:r>
      <w:r>
        <w:rPr>
          <w:rFonts w:eastAsia="MS Mincho"/>
          <w:lang w:eastAsia="ja-JP"/>
        </w:rPr>
        <w:t xml:space="preserve">ТЗ.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1001"/>
        <w:numPr>
          <w:ilvl w:val="0"/>
          <w:numId w:val="0"/>
        </w:numPr>
        <w:contextualSpacing/>
        <w:spacing w:before="0" w:after="0"/>
        <w:tabs>
          <w:tab w:val="left" w:pos="709" w:leader="none"/>
        </w:tabs>
        <w:rPr>
          <w:rFonts w:eastAsia="MS Mincho"/>
          <w:highlight w:val="none"/>
          <w:lang w:eastAsia="ja-JP"/>
        </w:rPr>
      </w:pPr>
      <w:r>
        <w:rPr>
          <w:lang w:eastAsia="ar-SA"/>
        </w:rPr>
        <w:t xml:space="preserve">2.1.3. </w:t>
      </w:r>
      <w: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</w:t>
      </w:r>
      <w:r>
        <w:t xml:space="preserve">т.ч</w:t>
      </w:r>
      <w:r>
        <w:t xml:space="preserve">. субъекты малого и среднего предпринимательства.</w:t>
      </w: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  <w:lang w:eastAsia="ja-JP"/>
        </w:rPr>
      </w:r>
    </w:p>
    <w:p>
      <w:pPr>
        <w:pStyle w:val="1001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white"/>
          <w14:ligatures w14:val="none"/>
        </w:rPr>
      </w:pPr>
      <w:r>
        <w:rPr>
          <w:color w:val="000000" w:themeColor="text1"/>
          <w:szCs w:val="24"/>
        </w:rPr>
        <w:t xml:space="preserve">2.1.4. </w:t>
      </w:r>
      <w:r>
        <w:rPr>
          <w:color w:val="000000" w:themeColor="text1"/>
          <w:szCs w:val="24"/>
        </w:rPr>
        <w:t xml:space="preserve">Уч</w:t>
      </w:r>
      <w:r>
        <w:rPr>
          <w:color w:val="000000" w:themeColor="text1"/>
          <w:szCs w:val="24"/>
        </w:rPr>
        <w:t xml:space="preserve">астник закупки должен иметь  действующую лицензию по сбору, транспортированию, обработке, утилизации, обезвреживанию, размещению отходов I - IV классов опасности </w:t>
      </w:r>
      <w:r>
        <w:rPr>
          <w:color w:val="000000" w:themeColor="text1"/>
          <w:szCs w:val="24"/>
        </w:rPr>
        <w:t xml:space="preserve">(</w:t>
      </w:r>
      <w:r>
        <w:rPr>
          <w:color w:val="000000" w:themeColor="text1"/>
          <w:szCs w:val="24"/>
        </w:rPr>
        <w:t xml:space="preserve">согласно</w:t>
      </w:r>
      <w:r>
        <w:rPr>
          <w:color w:val="000000" w:themeColor="text1"/>
          <w:szCs w:val="24"/>
        </w:rPr>
        <w:t xml:space="preserve"> ст.12 </w:t>
      </w:r>
      <w:r>
        <w:rPr>
          <w:color w:val="000000" w:themeColor="text1"/>
          <w:szCs w:val="24"/>
        </w:rPr>
        <w:t xml:space="preserve">Федеральн</w:t>
      </w:r>
      <w:r>
        <w:rPr>
          <w:color w:val="000000" w:themeColor="text1"/>
          <w:szCs w:val="24"/>
        </w:rPr>
        <w:t xml:space="preserve">ого</w:t>
      </w:r>
      <w:r>
        <w:rPr>
          <w:color w:val="000000" w:themeColor="text1"/>
          <w:szCs w:val="24"/>
        </w:rPr>
        <w:t xml:space="preserve"> закон</w:t>
      </w:r>
      <w:r>
        <w:rPr>
          <w:color w:val="000000" w:themeColor="text1"/>
          <w:szCs w:val="24"/>
        </w:rPr>
        <w:t xml:space="preserve">а</w:t>
      </w:r>
      <w:r>
        <w:rPr>
          <w:color w:val="000000" w:themeColor="text1"/>
          <w:szCs w:val="24"/>
        </w:rPr>
        <w:t xml:space="preserve"> от 04.05.2011 N 99-ФЗ (ред. от 25.12.2023) "О лицензировании отдельных видов деятельности"</w:t>
      </w:r>
      <w:r>
        <w:rPr>
          <w:color w:val="000000" w:themeColor="text1"/>
          <w:szCs w:val="24"/>
        </w:rPr>
        <w:t xml:space="preserve">) или </w:t>
      </w:r>
      <w:r>
        <w:rPr>
          <w:rFonts w:eastAsia="SimSun"/>
        </w:rPr>
      </w:r>
      <w:r>
        <w:rPr>
          <w:rFonts w:eastAsia="SimSun"/>
        </w:rPr>
        <w:t xml:space="preserve">наличие заключенного </w:t>
      </w:r>
      <w:r>
        <w:rPr>
          <w:rFonts w:eastAsia="SimSun"/>
        </w:rPr>
        <w:t xml:space="preserve">договора с лицензированной организацией</w:t>
      </w:r>
      <w:r>
        <w:rPr>
          <w:rFonts w:eastAsia="SimSun"/>
        </w:rPr>
        <w:t xml:space="preserve"> на  виды отходов согласно приложению 4 к ТЗ.</w:t>
      </w:r>
      <w:r/>
      <w:r>
        <w:rPr>
          <w:color w:val="000000" w:themeColor="text1"/>
          <w:szCs w:val="24"/>
        </w:rPr>
      </w:r>
      <w:r>
        <w:rPr>
          <w:rFonts w:eastAsia="SimSun"/>
          <w:highlight w:val="white"/>
          <w14:ligatures w14:val="none"/>
        </w:rPr>
      </w:r>
      <w:r>
        <w:rPr>
          <w:rFonts w:eastAsia="SimSun"/>
          <w:highlight w:val="white"/>
          <w14:ligatures w14:val="none"/>
        </w:rPr>
      </w:r>
      <w:r>
        <w:rPr>
          <w:rFonts w:eastAsia="MS Mincho"/>
          <w:highlight w:val="none"/>
          <w:lang w:eastAsia="ja-JP"/>
        </w:rPr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  <w:r>
        <w:rPr>
          <w:rFonts w:eastAsia="SimSun"/>
          <w:highlight w:val="white"/>
          <w14:ligatures w14:val="none"/>
        </w:rPr>
      </w:r>
    </w:p>
    <w:p>
      <w:pPr>
        <w:pStyle w:val="999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1001"/>
        <w:numPr>
          <w:ilvl w:val="0"/>
          <w:numId w:val="0"/>
        </w:numPr>
        <w:spacing w:before="0" w:after="0"/>
        <w:tabs>
          <w:tab w:val="left" w:pos="568" w:leader="none"/>
          <w:tab w:val="left" w:pos="1701" w:leader="none"/>
        </w:tabs>
      </w:pPr>
      <w:r>
        <w:t xml:space="preserve">3.1. </w:t>
      </w:r>
      <w:r>
        <w:t xml:space="preserve">Техническое предложение, заполненное Участником по форме и в соответствии с инструкциями Приложения №</w:t>
      </w:r>
      <w:r>
        <w:t xml:space="preserve"> 3</w:t>
      </w:r>
      <w:r>
        <w:t xml:space="preserve">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</w:t>
      </w:r>
      <w:r/>
    </w:p>
    <w:p>
      <w:pPr>
        <w:pStyle w:val="1001"/>
        <w:numPr>
          <w:ilvl w:val="0"/>
          <w:numId w:val="0"/>
        </w:numPr>
        <w:spacing w:before="0" w:after="0"/>
        <w:tabs>
          <w:tab w:val="left" w:pos="568" w:leader="none"/>
          <w:tab w:val="left" w:pos="1701" w:leader="none"/>
        </w:tabs>
        <w:rPr>
          <w:rFonts w:eastAsia="Calibri"/>
          <w:lang w:eastAsia="en-US"/>
        </w:rPr>
      </w:pPr>
      <w:r>
        <w:t xml:space="preserve">3.</w:t>
      </w:r>
      <w:r>
        <w:t xml:space="preserve">2</w:t>
      </w:r>
      <w:r>
        <w:t xml:space="preserve">. </w:t>
      </w:r>
      <w:r>
        <w:t xml:space="preserve">В составе ценового предложения Участник должен предоставить Приложение №3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01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</w:t>
      </w:r>
      <w:r>
        <w:rPr>
          <w:rFonts w:eastAsia="Calibri"/>
          <w:lang w:eastAsia="en-US"/>
        </w:rPr>
        <w:t xml:space="preserve">2</w:t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lang w:eastAsia="en-US"/>
        </w:rPr>
        <w:t xml:space="preserve">1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№3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01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3.</w:t>
      </w:r>
      <w:r>
        <w:t xml:space="preserve">2</w:t>
      </w:r>
      <w:r>
        <w:t xml:space="preserve">.</w:t>
      </w:r>
      <w:r>
        <w:t xml:space="preserve">2</w:t>
      </w:r>
      <w:r>
        <w:t xml:space="preserve">. </w:t>
      </w: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001"/>
        <w:numPr>
          <w:ilvl w:val="0"/>
          <w:numId w:val="0"/>
        </w:numPr>
        <w:spacing w:before="0" w:after="0"/>
        <w:tabs>
          <w:tab w:val="left" w:pos="568" w:leader="none"/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 3.</w:t>
      </w:r>
      <w:r>
        <w:t xml:space="preserve">2</w:t>
      </w:r>
      <w:r>
        <w:t xml:space="preserve">.</w:t>
      </w:r>
      <w:r>
        <w:t xml:space="preserve">3</w:t>
      </w:r>
      <w:r>
        <w:t xml:space="preserve">.   </w:t>
      </w:r>
      <w:r>
        <w:t xml:space="preserve">Несоответствие Расчета стоимости</w:t>
      </w:r>
      <w:r>
        <w:t xml:space="preserve"> работ/ услуг</w:t>
      </w:r>
      <w: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1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9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567" w:leader="none"/>
        </w:tabs>
      </w:pPr>
      <w:r/>
      <w:r/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7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7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71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jc w:val="both"/>
        <w:tabs>
          <w:tab w:val="left" w:pos="567" w:leader="none"/>
        </w:tabs>
      </w:pPr>
      <w:r/>
      <w:r/>
    </w:p>
    <w:p>
      <w:pPr>
        <w:pStyle w:val="97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0" w:name="undefined"/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0" w:name="undefined"/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0"/>
      <w:r>
        <w:t xml:space="preserve">Проект договора (форма).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3</w:t>
      </w: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91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Fonts w:ascii="Times New Roman" w:hAnsi="Times New Roman" w:cs="Times New Roman"/>
          <w:color w:val="auto"/>
          <w:sz w:val="24"/>
          <w:szCs w:val="24"/>
        </w:rPr>
      </w:r>
      <w:r>
        <w:rPr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t xml:space="preserve">.</w:t>
      </w:r>
      <w:r/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9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9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91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работ.</w:t>
      </w:r>
      <w:r/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/>
      <w:r/>
    </w:p>
    <w:p>
      <w:pPr>
        <w:pStyle w:val="971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7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color w:val="ff0000"/>
        </w:rPr>
        <w:outlineLvl w:val="0"/>
      </w:pPr>
      <w:r>
        <w:rPr>
          <w:color w:val="ff0000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71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bCs/>
          <w:i/>
        </w:rPr>
        <w:outlineLvl w:val="0"/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71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Ведущий </w:t>
            </w:r>
            <w:r>
              <w:rPr>
                <w:sz w:val="24"/>
                <w:szCs w:val="24"/>
                <w:highlight w:val="white"/>
              </w:rPr>
              <w:t xml:space="preserve">инженер по ООС (эколог)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УПБ</w:t>
            </w:r>
            <w:r>
              <w:rPr>
                <w:sz w:val="24"/>
                <w:szCs w:val="24"/>
                <w:highlight w:val="white"/>
              </w:rPr>
              <w:t xml:space="preserve">ОТ</w:t>
            </w:r>
            <w:r>
              <w:rPr>
                <w:sz w:val="24"/>
                <w:szCs w:val="24"/>
                <w:highlight w:val="white"/>
              </w:rPr>
              <w:t xml:space="preserve">иПК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Т.А. Кугенева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left="5387"/>
        <w:pageBreakBefore/>
        <w:rPr>
          <w:bCs/>
        </w:rPr>
      </w:pPr>
      <w:r>
        <w:t xml:space="preserve">Приложение 1 к 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line="20" w:lineRule="atLeast"/>
        <w:shd w:val="clear" w:color="auto" w:fill="ffffff"/>
        <w:outlineLvl w:val="1"/>
      </w:pPr>
      <w:r>
        <w:t xml:space="preserve">Оказание услуг по </w:t>
      </w:r>
      <w:r>
        <w:t xml:space="preserve">Обезвреживанию, размещению  отходов 3,4  кл.опасности (покрышки,  ветоши, песка, опила, масляных фильтров) ПО Центральные ЭС</w:t>
      </w:r>
      <w:r/>
    </w:p>
    <w:tbl>
      <w:tblPr>
        <w:tblW w:w="544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3078"/>
        <w:gridCol w:w="1309"/>
        <w:gridCol w:w="1134"/>
        <w:gridCol w:w="1134"/>
        <w:gridCol w:w="1137"/>
        <w:gridCol w:w="1564"/>
        <w:gridCol w:w="1266"/>
      </w:tblGrid>
      <w:tr>
        <w:tblPrEx/>
        <w:trPr>
          <w:gridAfter w:val="2"/>
          <w:jc w:val="center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21" w:type="dxa"/>
            <w:textDirection w:val="lrTb"/>
            <w:noWrap w:val="false"/>
          </w:tcPr>
          <w:p>
            <w:pPr>
              <w:spacing w:after="300"/>
            </w:pPr>
            <w:r/>
            <w:bookmarkStart w:id="4" w:name="l55"/>
            <w:r/>
            <w:bookmarkEnd w:id="4"/>
            <w:r>
              <w:t xml:space="preserve">Начальная (максимальная) цена договора </w:t>
            </w:r>
            <w:r/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271" w:type="dxa"/>
            <w:textDirection w:val="lrTb"/>
            <w:noWrap w:val="false"/>
          </w:tcPr>
          <w:p>
            <w:r>
              <w:t xml:space="preserve">50 580,00 </w:t>
            </w:r>
            <w:r>
              <w:rPr>
                <w:sz w:val="24"/>
                <w:szCs w:val="24"/>
              </w:rPr>
              <w:t xml:space="preserve">руб</w:t>
            </w:r>
            <w:r>
              <w:rPr>
                <w:sz w:val="24"/>
                <w:szCs w:val="24"/>
              </w:rPr>
              <w:t xml:space="preserve">. (с НДС)</w:t>
            </w:r>
            <w:r>
              <w:rPr>
                <w:sz w:val="24"/>
                <w:szCs w:val="24"/>
              </w:rPr>
              <w:t xml:space="preserve">, в том числе НДС 22%</w:t>
            </w:r>
            <w:r>
              <w:rPr>
                <w:sz w:val="28"/>
                <w:szCs w:val="28"/>
              </w:rPr>
              <w:t xml:space="preserve"> </w:t>
            </w:r>
            <w:r/>
          </w:p>
        </w:tc>
      </w:tr>
      <w:tr>
        <w:tblPrEx/>
        <w:trPr>
          <w:gridAfter w:val="2"/>
          <w:jc w:val="center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21" w:type="dxa"/>
            <w:textDirection w:val="lrTb"/>
            <w:noWrap w:val="false"/>
          </w:tcPr>
          <w:p>
            <w:pPr>
              <w:spacing w:after="300"/>
            </w:pPr>
            <w:r>
              <w:t xml:space="preserve">Используемый метод определения начальной (максимальной) цены договора  с обоснованием</w:t>
            </w:r>
            <w:r/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271" w:type="dxa"/>
            <w:textDirection w:val="lrTb"/>
            <w:noWrap w:val="false"/>
          </w:tcPr>
          <w:p>
            <w:pPr>
              <w:pStyle w:val="9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сопоставимых рыночных цен (анализа рынка)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2"/>
          <w:jc w:val="center"/>
          <w:trHeight w:val="1567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21" w:type="dxa"/>
            <w:textDirection w:val="lrTb"/>
            <w:noWrap w:val="false"/>
          </w:tcPr>
          <w:p>
            <w:pPr>
              <w:widowControl w:val="off"/>
            </w:pPr>
            <w: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/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271" w:type="dxa"/>
            <w:textDirection w:val="lrTb"/>
            <w:noWrap w:val="false"/>
          </w:tcPr>
          <w:p>
            <w:pPr>
              <w:ind w:firstLine="851"/>
              <w:spacing w:after="300"/>
              <w:rPr>
                <w:i/>
              </w:rPr>
            </w:pPr>
            <w:r>
              <w:t xml:space="preserve">Единый стандарт закупок ПАО «Россети» (положение о закупке)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gridAfter w:val="2"/>
          <w:jc w:val="center"/>
          <w:trHeight w:val="1138"/>
        </w:trPr>
        <w:tc>
          <w:tcPr>
            <w:gridSpan w:val="3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5521" w:type="dxa"/>
            <w:textDirection w:val="lrTb"/>
            <w:noWrap w:val="false"/>
          </w:tcPr>
          <w:p>
            <w:pPr>
              <w:spacing w:after="300"/>
            </w:pPr>
            <w:r>
              <w:t xml:space="preserve">Расчет начальной (максимальной) цены договора </w:t>
            </w:r>
            <w:r/>
          </w:p>
        </w:tc>
        <w:tc>
          <w:tcPr>
            <w:gridSpan w:val="2"/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271" w:type="dxa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Приложение 4 к Техническому заданию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570"/>
        </w:trPr>
        <w:tc>
          <w:tcPr>
            <w:shd w:val="clear" w:color="auto" w:fill="auto"/>
            <w:tcW w:w="307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6"/>
            <w:shd w:val="clear" w:color="auto" w:fill="auto"/>
            <w:tcW w:w="754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Ценовая информация, руб. без НДС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W w:w="3078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4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27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283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W w:w="307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W w:w="13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13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56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26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 %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1179"/>
        </w:trPr>
        <w:tc>
          <w:tcPr>
            <w:shd w:val="clear" w:color="auto" w:fill="auto"/>
            <w:tcW w:w="3078" w:type="dxa"/>
            <w:textDirection w:val="lrTb"/>
            <w:noWrap w:val="false"/>
          </w:tcPr>
          <w:p>
            <w:pPr>
              <w:ind w:firstLine="851"/>
              <w:jc w:val="center"/>
              <w:spacing w:after="274" w:line="343" w:lineRule="atLeast"/>
              <w:shd w:val="clear" w:color="auto" w:fill="ffffff"/>
              <w:outlineLvl w:val="1"/>
            </w:pPr>
            <w:r>
              <w:t xml:space="preserve">Оказание услуг </w:t>
            </w:r>
            <w:r>
              <w:t xml:space="preserve">по </w:t>
            </w:r>
            <w:r>
              <w:t xml:space="preserve">по </w:t>
            </w:r>
            <w:r>
              <w:t xml:space="preserve">Обезвреживанию, размещению  отходов 3,4  кл.опасности (покрышки,  ветоши, песка, опила, масляных фильтров) ПО Центральные ЭС</w:t>
            </w:r>
            <w:r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30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50 580,00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56 517,80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59 035</w:t>
            </w:r>
            <w:r>
              <w:rPr>
                <w:color w:val="000000"/>
                <w:sz w:val="22"/>
                <w:szCs w:val="22"/>
              </w:rPr>
              <w:t xml:space="preserve">,80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W w:w="126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783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 4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783"/>
        <w:ind w:left="567"/>
        <w:jc w:val="center"/>
        <w:tabs>
          <w:tab w:val="left" w:pos="993" w:leader="none"/>
        </w:tabs>
        <w:rPr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 к Техническому заданию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r/>
      <w:r/>
    </w:p>
    <w:p>
      <w:pPr>
        <w:pStyle w:val="970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70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highlight w:val="none"/>
        </w:rPr>
        <w:t xml:space="preserve">с </w:t>
      </w:r>
      <w:r>
        <w:rPr>
          <w:b w:val="0"/>
          <w:bCs w:val="0"/>
          <w:i w:val="0"/>
          <w:iCs w:val="0"/>
          <w:highlight w:val="none"/>
        </w:rPr>
        <w:t xml:space="preserve">требованиями </w:t>
      </w:r>
      <w:r>
        <w:rPr>
          <w:highlight w:val="none"/>
          <w:lang w:eastAsia="ja-JP"/>
        </w:rPr>
        <w:t xml:space="preserve">Технического задания (</w:t>
      </w:r>
      <w:r>
        <w:rPr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71"/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0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3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</w:p>
    <w:p>
      <w:pPr>
        <w:pStyle w:val="783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bCs w:val="0"/>
          <w:i w:val="0"/>
          <w:sz w:val="24"/>
          <w:szCs w:val="24"/>
          <w:highlight w:val="none"/>
        </w:rPr>
      </w:pPr>
      <w:r>
        <w:rPr>
          <w:b w:val="0"/>
          <w:i w:val="0"/>
          <w:sz w:val="24"/>
          <w:szCs w:val="24"/>
        </w:rPr>
        <w:t xml:space="preserve">Приложение №3</w:t>
      </w:r>
      <w:r>
        <w:rPr>
          <w:b w:val="0"/>
          <w:bCs w:val="0"/>
          <w:i w:val="0"/>
          <w:sz w:val="24"/>
          <w:szCs w:val="24"/>
          <w:highlight w:val="none"/>
        </w:rPr>
      </w:r>
      <w:r>
        <w:rPr>
          <w:b w:val="0"/>
          <w:bCs w:val="0"/>
          <w:i w:val="0"/>
          <w:sz w:val="24"/>
          <w:szCs w:val="24"/>
          <w:highlight w:val="none"/>
        </w:rPr>
      </w:r>
    </w:p>
    <w:p>
      <w:pPr>
        <w:pStyle w:val="983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86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86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r/>
      <w:r/>
    </w:p>
    <w:tbl>
      <w:tblPr>
        <w:tblW w:w="9921" w:type="dxa"/>
        <w:tblLayout w:type="fixed"/>
        <w:tblLook w:val="04A0" w:firstRow="1" w:lastRow="0" w:firstColumn="1" w:lastColumn="0" w:noHBand="0" w:noVBand="1"/>
      </w:tblPr>
      <w:tblGrid>
        <w:gridCol w:w="566"/>
        <w:gridCol w:w="2409"/>
        <w:gridCol w:w="1134"/>
        <w:gridCol w:w="709"/>
        <w:gridCol w:w="1276"/>
        <w:gridCol w:w="1276"/>
        <w:gridCol w:w="1276"/>
        <w:gridCol w:w="1276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Количество,</w:t>
            </w:r>
            <w:r>
              <w:rPr>
                <w:bCs/>
                <w:sz w:val="22"/>
                <w:szCs w:val="22"/>
              </w:rPr>
              <w:t xml:space="preserve"> 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  за  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без НДС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  за  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с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             руб. без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             руб. с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t xml:space="preserve">Оказание услуг по </w:t>
            </w:r>
            <w:r>
              <w:rPr>
                <w:sz w:val="22"/>
                <w:szCs w:val="22"/>
              </w:rPr>
              <w:t xml:space="preserve">Обезвреживанию, размещению  отходов 3,4  кл.опасности (покрышки,  ветоши, песка, опила, масляных фильтров)</w:t>
            </w:r>
            <w:r>
              <w:rPr>
                <w:sz w:val="22"/>
                <w:szCs w:val="22"/>
              </w:rPr>
              <w:t xml:space="preserve">  для ПО ЦЭС:</w:t>
            </w:r>
            <w:r>
              <w:rPr>
                <w:sz w:val="22"/>
                <w:szCs w:val="22"/>
                <w:highlight w:val="yellow"/>
              </w:rPr>
            </w: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5,5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 xml:space="preserve">О</w:t>
            </w:r>
            <w:r>
              <w:rPr>
                <w:highlight w:val="white"/>
              </w:rPr>
              <w:t xml:space="preserve">бтирочный</w:t>
            </w:r>
            <w:r>
              <w:rPr>
                <w:highlight w:val="white"/>
              </w:rPr>
              <w:t xml:space="preserve"> материал, загр</w:t>
            </w:r>
            <w:r>
              <w:rPr>
                <w:highlight w:val="white"/>
              </w:rPr>
              <w:t xml:space="preserve">язненный</w:t>
            </w:r>
            <w:r>
              <w:rPr>
                <w:highlight w:val="white"/>
              </w:rPr>
              <w:t xml:space="preserve"> нефтью или нефтепродуктами, содержание менее 15%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9 19 204 02 60 4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9 418,03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2825,409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2 825,409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3 447,00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 xml:space="preserve">Ф</w:t>
            </w:r>
            <w:r>
              <w:rPr>
                <w:highlight w:val="white"/>
              </w:rPr>
              <w:t xml:space="preserve">ильтры </w:t>
            </w:r>
            <w:r>
              <w:rPr>
                <w:highlight w:val="white"/>
              </w:rPr>
              <w:t xml:space="preserve">очистки масла автотранспортных средств, отработанные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9 21 302 01 52 3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9 418,03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941,803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941,803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1 149,00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 xml:space="preserve">П</w:t>
            </w:r>
            <w:r>
              <w:rPr>
                <w:highlight w:val="white"/>
              </w:rPr>
              <w:t xml:space="preserve">есок, </w:t>
            </w:r>
            <w:r>
              <w:rPr>
                <w:highlight w:val="white"/>
              </w:rPr>
              <w:t xml:space="preserve">загрязнённ</w:t>
            </w:r>
            <w:r>
              <w:rPr>
                <w:highlight w:val="white"/>
              </w:rPr>
              <w:t xml:space="preserve">ый</w:t>
            </w:r>
            <w:r>
              <w:rPr>
                <w:highlight w:val="white"/>
              </w:rPr>
              <w:t xml:space="preserve"> нефтью или нефтепродуктами, содержание менее 15%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9 19 201 02 39 4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0,1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9 418,03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941,803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941,803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1 149,00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  <w:highlight w:val="white"/>
              </w:rPr>
            </w:pPr>
            <w:r>
              <w:rPr>
                <w:highlight w:val="white"/>
              </w:rPr>
              <w:t xml:space="preserve">О</w:t>
            </w:r>
            <w:r>
              <w:rPr>
                <w:highlight w:val="white"/>
              </w:rPr>
              <w:t xml:space="preserve">тработанны</w:t>
            </w:r>
            <w:r>
              <w:rPr>
                <w:highlight w:val="white"/>
              </w:rPr>
              <w:t xml:space="preserve">е</w:t>
            </w:r>
            <w:r>
              <w:rPr>
                <w:highlight w:val="white"/>
              </w:rPr>
              <w:t xml:space="preserve"> автотранспортны</w:t>
            </w:r>
            <w:r>
              <w:rPr>
                <w:highlight w:val="white"/>
              </w:rPr>
              <w:t xml:space="preserve">е</w:t>
            </w:r>
            <w:r>
              <w:rPr>
                <w:highlight w:val="white"/>
              </w:rPr>
              <w:t xml:space="preserve"> шин</w:t>
            </w:r>
            <w:r>
              <w:rPr>
                <w:highlight w:val="white"/>
              </w:rPr>
              <w:t xml:space="preserve">ы</w:t>
            </w:r>
            <w:r>
              <w:rPr>
                <w:highlight w:val="white"/>
              </w:rPr>
              <w:t xml:space="preserve"> и РТИ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9 21 130 02 50 4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7 350,00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36 750,00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36 750,00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44 835,00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41 459,02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50 580,00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pStyle w:val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Участника: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97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i/>
          <w:sz w:val="20"/>
        </w:rPr>
      </w:pPr>
      <w:r>
        <w:rPr>
          <w:i/>
          <w:sz w:val="20"/>
        </w:rPr>
        <w:t xml:space="preserve">* - столбцы заполняются Участником закупки</w:t>
      </w:r>
      <w:r>
        <w:rPr>
          <w:i/>
          <w:sz w:val="20"/>
        </w:rPr>
      </w:r>
      <w:r>
        <w:rPr>
          <w:i/>
          <w:sz w:val="20"/>
        </w:rPr>
      </w:r>
    </w:p>
    <w:p>
      <w:pPr>
        <w:pStyle w:val="970"/>
        <w:jc w:val="both"/>
      </w:pPr>
      <w:r/>
      <w:r/>
    </w:p>
    <w:p>
      <w:pPr>
        <w:pStyle w:val="970"/>
        <w:jc w:val="both"/>
      </w:pPr>
      <w:r/>
      <w:r/>
    </w:p>
    <w:p>
      <w:pPr>
        <w:pStyle w:val="970"/>
        <w:jc w:val="both"/>
      </w:pPr>
      <w:r/>
      <w:r/>
    </w:p>
    <w:p>
      <w:pPr>
        <w:pStyle w:val="970"/>
        <w:jc w:val="both"/>
      </w:pPr>
      <w:r/>
      <w:r/>
    </w:p>
    <w:p>
      <w:pPr>
        <w:pStyle w:val="783"/>
        <w:ind w:left="567"/>
        <w:jc w:val="center"/>
        <w:tabs>
          <w:tab w:val="left" w:pos="993" w:leader="none"/>
        </w:tabs>
        <w:rPr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pStyle w:val="783"/>
        <w:ind w:left="567"/>
        <w:jc w:val="center"/>
        <w:tabs>
          <w:tab w:val="left" w:pos="993" w:leader="none"/>
        </w:tabs>
        <w:rPr>
          <w:bCs w:val="0"/>
          <w:i w:val="0"/>
          <w:sz w:val="24"/>
          <w:szCs w:val="24"/>
        </w:rPr>
      </w:pPr>
      <w:r>
        <w:rPr>
          <w:i w:val="0"/>
          <w:sz w:val="24"/>
          <w:highlight w:val="none"/>
        </w:rPr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pStyle w:val="783"/>
        <w:ind w:left="567"/>
        <w:jc w:val="center"/>
        <w:tabs>
          <w:tab w:val="left" w:pos="993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i w:val="0"/>
          <w:sz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pStyle w:val="783"/>
        <w:ind w:left="567"/>
        <w:jc w:val="center"/>
        <w:tabs>
          <w:tab w:val="left" w:pos="993" w:leader="none"/>
        </w:tabs>
        <w:rPr>
          <w:bCs w:val="0"/>
          <w:i w:val="0"/>
          <w:sz w:val="24"/>
          <w:szCs w:val="24"/>
          <w:highlight w:val="none"/>
        </w:rPr>
      </w:pPr>
      <w:r>
        <w:rPr>
          <w:i w:val="0"/>
          <w:sz w:val="24"/>
        </w:rPr>
        <w:t xml:space="preserve">Лист согласования</w:t>
      </w:r>
      <w:r>
        <w:rPr>
          <w:bCs w:val="0"/>
          <w:i w:val="0"/>
          <w:sz w:val="24"/>
          <w:szCs w:val="24"/>
          <w:highlight w:val="none"/>
        </w:rPr>
      </w:r>
      <w:r>
        <w:rPr>
          <w:bCs w:val="0"/>
          <w:i w:val="0"/>
          <w:sz w:val="24"/>
          <w:szCs w:val="24"/>
          <w:highlight w:val="none"/>
        </w:rPr>
      </w:r>
    </w:p>
    <w:p>
      <w:pPr>
        <w:jc w:val="center"/>
        <w:spacing w:line="276" w:lineRule="auto"/>
      </w:pPr>
      <w:r>
        <w:t xml:space="preserve">Технического задания на проведение сравнения цен в электронной форме, участниками которого могут быть только субъекты МСП на право заключения договора на </w:t>
      </w:r>
      <w:r/>
    </w:p>
    <w:p>
      <w:pPr>
        <w:ind w:firstLine="851"/>
        <w:jc w:val="center"/>
        <w:spacing w:line="20" w:lineRule="atLeast"/>
        <w:shd w:val="clear" w:color="auto" w:fill="ffffff"/>
        <w:outlineLvl w:val="1"/>
      </w:pPr>
      <w:r>
        <w:rPr>
          <w:sz w:val="22"/>
          <w:szCs w:val="22"/>
        </w:rPr>
        <w:t xml:space="preserve">Оказание услуг по </w:t>
      </w:r>
      <w:r>
        <w:rPr>
          <w:sz w:val="22"/>
          <w:szCs w:val="22"/>
        </w:rPr>
        <w:t xml:space="preserve">Обезвреживанию, размещению  отходов 3,4  кл.опасности (покрышки,  ветоши, песка, опила, масляных фильтров)</w:t>
      </w:r>
      <w:r>
        <w:rPr>
          <w:sz w:val="22"/>
          <w:szCs w:val="22"/>
        </w:rPr>
        <w:t xml:space="preserve">  для ПО ЦЭС:</w:t>
      </w:r>
      <w:r>
        <w:t xml:space="preserve"> </w:t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r>
              <w:t xml:space="preserve">Ведущий </w:t>
            </w:r>
            <w:r>
              <w:t xml:space="preserve">инженер по ООС </w:t>
            </w:r>
            <w:r>
              <w:t xml:space="preserve">УПБ</w:t>
            </w:r>
            <w:r>
              <w:t xml:space="preserve">ОТ</w:t>
            </w:r>
            <w:r>
              <w:t xml:space="preserve">иПК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r>
              <w:t xml:space="preserve">Т.А. Кугенева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417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>
              <w:rPr>
                <w:sz w:val="20"/>
                <w:szCs w:val="20"/>
              </w:rPr>
              <w:t xml:space="preserve">главного инженера по ПБОТиПК -начальник УПБОТиПК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Губин Н.В.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r>
              <w:rPr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-6350</wp:posOffset>
                      </wp:positionV>
                      <wp:extent cx="661035" cy="481330"/>
                      <wp:effectExtent l="0" t="0" r="0" b="0"/>
                      <wp:wrapNone/>
                      <wp:docPr id="1" name="Рисунок 1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0664772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4151" t="71620" r="56041" b="15686"/>
                              <a:stretch/>
                            </pic:blipFill>
                            <pic:spPr bwMode="auto">
                              <a:xfrm rot="0" flipH="0" flipV="0">
                                <a:off x="0" y="0"/>
                                <a:ext cx="661034" cy="481329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59264;o:allowoverlap:true;o:allowincell:true;mso-position-horizontal-relative:text;margin-left:3.10pt;mso-position-horizontal:absolute;mso-position-vertical-relative:text;margin-top:-0.50pt;mso-position-vertical:absolute;width:52.05pt;height:37.90pt;mso-wrap-distance-left:9.00pt;mso-wrap-distance-top:0.00pt;mso-wrap-distance-right:9.00pt;mso-wrap-distance-bottom:0.00pt;rotation:0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/>
          </w:p>
          <w:p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783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6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rPr>
        <w:rStyle w:val="967"/>
      </w:rPr>
      <w:framePr w:wrap="around" w:vAnchor="text" w:hAnchor="margin" w:xAlign="center" w:y="1"/>
    </w:pPr>
    <w:r>
      <w:rPr>
        <w:rStyle w:val="967"/>
      </w:rPr>
      <w:fldChar w:fldCharType="begin"/>
    </w:r>
    <w:r>
      <w:rPr>
        <w:rStyle w:val="967"/>
      </w:rPr>
      <w:instrText xml:space="preserve">PAGE  </w:instrText>
    </w:r>
    <w:r>
      <w:rPr>
        <w:rStyle w:val="967"/>
      </w:rPr>
      <w:fldChar w:fldCharType="end"/>
    </w:r>
    <w:r>
      <w:rPr>
        <w:rStyle w:val="967"/>
      </w:rPr>
    </w:r>
    <w:r>
      <w:rPr>
        <w:rStyle w:val="967"/>
      </w:rPr>
    </w:r>
  </w:p>
  <w:p>
    <w:pPr>
      <w:pStyle w:val="96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styleLink w:val="1002"/>
    <w:lvl w:ilvl="0">
      <w:start w:val="1"/>
      <w:numFmt w:val="decimal"/>
      <w:pStyle w:val="99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00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01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03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04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05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06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13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  <w:tabs>
          <w:tab w:val="num" w:pos="10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numStyleLink w:val="1002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4"/>
  </w:num>
  <w:num w:numId="2">
    <w:abstractNumId w:val="18"/>
  </w:num>
  <w:num w:numId="3">
    <w:abstractNumId w:val="15"/>
  </w:num>
  <w:num w:numId="4">
    <w:abstractNumId w:val="3"/>
  </w:num>
  <w:num w:numId="5">
    <w:abstractNumId w:val="21"/>
  </w:num>
  <w:num w:numId="6">
    <w:abstractNumId w:val="9"/>
  </w:num>
  <w:num w:numId="7">
    <w:abstractNumId w:val="11"/>
  </w:num>
  <w:num w:numId="8">
    <w:abstractNumId w:val="12"/>
  </w:num>
  <w:num w:numId="9">
    <w:abstractNumId w:val="19"/>
  </w:num>
  <w:num w:numId="10">
    <w:abstractNumId w:val="26"/>
  </w:num>
  <w:num w:numId="11">
    <w:abstractNumId w:val="1"/>
  </w:num>
  <w:num w:numId="12">
    <w:abstractNumId w:val="5"/>
  </w:num>
  <w:num w:numId="13">
    <w:abstractNumId w:val="4"/>
  </w:num>
  <w:num w:numId="14">
    <w:abstractNumId w:val="27"/>
  </w:num>
  <w:num w:numId="15">
    <w:abstractNumId w:val="7"/>
  </w:num>
  <w:num w:numId="16">
    <w:abstractNumId w:val="10"/>
  </w:num>
  <w:num w:numId="17">
    <w:abstractNumId w:val="20"/>
  </w:num>
  <w:num w:numId="18">
    <w:abstractNumId w:val="13"/>
  </w:num>
  <w:num w:numId="19">
    <w:abstractNumId w:val="8"/>
  </w:num>
  <w:num w:numId="20">
    <w:abstractNumId w:val="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"/>
  </w:num>
  <w:num w:numId="24">
    <w:abstractNumId w:val="28"/>
    <w:lvlOverride w:ilvl="0">
      <w:lvl w:ilvl="0">
        <w:start w:val="1"/>
        <w:numFmt w:val="decimal"/>
        <w:pStyle w:val="999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00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01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03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04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05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06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8"/>
    <w:lvlOverride w:ilvl="0">
      <w:startOverride w:val="1"/>
      <w:lvl w:ilvl="0">
        <w:start w:val="1"/>
        <w:numFmt w:val="decimal"/>
        <w:pStyle w:val="999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00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19"/>
  </w:num>
  <w:num w:numId="27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6"/>
  </w:num>
  <w:num w:numId="30">
    <w:abstractNumId w:val="24"/>
  </w:num>
  <w:num w:numId="31">
    <w:abstractNumId w:val="25"/>
  </w:num>
  <w:num w:numId="32">
    <w:abstractNumId w:val="22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9">
    <w:name w:val="Heading 1"/>
    <w:basedOn w:val="778"/>
    <w:next w:val="778"/>
    <w:link w:val="8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0">
    <w:name w:val="Heading 2"/>
    <w:basedOn w:val="778"/>
    <w:next w:val="778"/>
    <w:link w:val="99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81">
    <w:name w:val="Heading 3"/>
    <w:basedOn w:val="778"/>
    <w:next w:val="778"/>
    <w:link w:val="8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2">
    <w:name w:val="Heading 4"/>
    <w:basedOn w:val="778"/>
    <w:next w:val="778"/>
    <w:link w:val="8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3">
    <w:name w:val="Heading 5"/>
    <w:basedOn w:val="778"/>
    <w:next w:val="778"/>
    <w:link w:val="963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784">
    <w:name w:val="Heading 6"/>
    <w:basedOn w:val="778"/>
    <w:next w:val="778"/>
    <w:link w:val="8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5">
    <w:name w:val="Heading 7"/>
    <w:basedOn w:val="778"/>
    <w:next w:val="778"/>
    <w:link w:val="964"/>
    <w:qFormat/>
    <w:pPr>
      <w:spacing w:before="240" w:after="60"/>
      <w:outlineLvl w:val="6"/>
    </w:pPr>
    <w:rPr>
      <w:rFonts w:eastAsia="SimSun"/>
    </w:rPr>
  </w:style>
  <w:style w:type="paragraph" w:styleId="786">
    <w:name w:val="Heading 8"/>
    <w:basedOn w:val="778"/>
    <w:next w:val="778"/>
    <w:link w:val="8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7">
    <w:name w:val="Heading 9"/>
    <w:basedOn w:val="778"/>
    <w:next w:val="778"/>
    <w:link w:val="8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 w:default="1">
    <w:name w:val="Default Paragraph Font"/>
    <w:uiPriority w:val="1"/>
    <w:semiHidden/>
    <w:unhideWhenUsed/>
  </w:style>
  <w:style w:type="table" w:styleId="78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0" w:default="1">
    <w:name w:val="No List"/>
    <w:uiPriority w:val="99"/>
    <w:semiHidden/>
    <w:unhideWhenUsed/>
  </w:style>
  <w:style w:type="character" w:styleId="791" w:customStyle="1">
    <w:name w:val="Heading 1 Char"/>
    <w:basedOn w:val="788"/>
    <w:uiPriority w:val="9"/>
    <w:rPr>
      <w:rFonts w:ascii="Arial" w:hAnsi="Arial" w:eastAsia="Arial" w:cs="Arial"/>
      <w:sz w:val="40"/>
      <w:szCs w:val="40"/>
    </w:rPr>
  </w:style>
  <w:style w:type="character" w:styleId="792" w:customStyle="1">
    <w:name w:val="Heading 3 Char"/>
    <w:basedOn w:val="788"/>
    <w:uiPriority w:val="9"/>
    <w:rPr>
      <w:rFonts w:ascii="Arial" w:hAnsi="Arial" w:eastAsia="Arial" w:cs="Arial"/>
      <w:sz w:val="30"/>
      <w:szCs w:val="30"/>
    </w:rPr>
  </w:style>
  <w:style w:type="character" w:styleId="793" w:customStyle="1">
    <w:name w:val="Heading 4 Char"/>
    <w:basedOn w:val="788"/>
    <w:uiPriority w:val="9"/>
    <w:rPr>
      <w:rFonts w:ascii="Arial" w:hAnsi="Arial" w:eastAsia="Arial" w:cs="Arial"/>
      <w:b/>
      <w:bCs/>
      <w:sz w:val="26"/>
      <w:szCs w:val="26"/>
    </w:rPr>
  </w:style>
  <w:style w:type="character" w:styleId="794" w:customStyle="1">
    <w:name w:val="Heading 6 Char"/>
    <w:basedOn w:val="788"/>
    <w:uiPriority w:val="9"/>
    <w:rPr>
      <w:rFonts w:ascii="Arial" w:hAnsi="Arial" w:eastAsia="Arial" w:cs="Arial"/>
      <w:b/>
      <w:bCs/>
      <w:sz w:val="22"/>
      <w:szCs w:val="22"/>
    </w:rPr>
  </w:style>
  <w:style w:type="character" w:styleId="795" w:customStyle="1">
    <w:name w:val="Heading 8 Char"/>
    <w:basedOn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796" w:customStyle="1">
    <w:name w:val="Heading 9 Char"/>
    <w:basedOn w:val="788"/>
    <w:uiPriority w:val="9"/>
    <w:rPr>
      <w:rFonts w:ascii="Arial" w:hAnsi="Arial" w:eastAsia="Arial" w:cs="Arial"/>
      <w:i/>
      <w:iCs/>
      <w:sz w:val="21"/>
      <w:szCs w:val="21"/>
    </w:rPr>
  </w:style>
  <w:style w:type="character" w:styleId="797" w:customStyle="1">
    <w:name w:val="Subtitle Char"/>
    <w:basedOn w:val="788"/>
    <w:uiPriority w:val="11"/>
    <w:rPr>
      <w:sz w:val="24"/>
      <w:szCs w:val="24"/>
    </w:rPr>
  </w:style>
  <w:style w:type="character" w:styleId="798" w:customStyle="1">
    <w:name w:val="Quote Char"/>
    <w:uiPriority w:val="29"/>
    <w:rPr>
      <w:i/>
    </w:rPr>
  </w:style>
  <w:style w:type="character" w:styleId="799" w:customStyle="1">
    <w:name w:val="Intense Quote Char"/>
    <w:uiPriority w:val="30"/>
    <w:rPr>
      <w:i/>
    </w:rPr>
  </w:style>
  <w:style w:type="character" w:styleId="800" w:customStyle="1">
    <w:name w:val="Footnote Text Char"/>
    <w:uiPriority w:val="99"/>
    <w:rPr>
      <w:sz w:val="18"/>
    </w:rPr>
  </w:style>
  <w:style w:type="character" w:styleId="801" w:customStyle="1">
    <w:name w:val="Endnote Text Char"/>
    <w:uiPriority w:val="99"/>
    <w:rPr>
      <w:sz w:val="20"/>
    </w:rPr>
  </w:style>
  <w:style w:type="character" w:styleId="802" w:customStyle="1">
    <w:name w:val="Заголовок 1 Знак"/>
    <w:basedOn w:val="788"/>
    <w:link w:val="779"/>
    <w:uiPriority w:val="9"/>
    <w:rPr>
      <w:rFonts w:ascii="Arial" w:hAnsi="Arial" w:eastAsia="Arial" w:cs="Arial"/>
      <w:sz w:val="40"/>
      <w:szCs w:val="40"/>
    </w:rPr>
  </w:style>
  <w:style w:type="character" w:styleId="803" w:customStyle="1">
    <w:name w:val="Heading 2 Char"/>
    <w:basedOn w:val="788"/>
    <w:uiPriority w:val="9"/>
    <w:rPr>
      <w:rFonts w:ascii="Arial" w:hAnsi="Arial" w:eastAsia="Arial" w:cs="Arial"/>
      <w:sz w:val="34"/>
    </w:rPr>
  </w:style>
  <w:style w:type="character" w:styleId="804" w:customStyle="1">
    <w:name w:val="Заголовок 3 Знак"/>
    <w:basedOn w:val="788"/>
    <w:link w:val="781"/>
    <w:uiPriority w:val="9"/>
    <w:rPr>
      <w:rFonts w:ascii="Arial" w:hAnsi="Arial" w:eastAsia="Arial" w:cs="Arial"/>
      <w:sz w:val="30"/>
      <w:szCs w:val="30"/>
    </w:rPr>
  </w:style>
  <w:style w:type="character" w:styleId="805" w:customStyle="1">
    <w:name w:val="Заголовок 4 Знак"/>
    <w:basedOn w:val="788"/>
    <w:link w:val="78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 w:customStyle="1">
    <w:name w:val="Heading 5 Char"/>
    <w:basedOn w:val="788"/>
    <w:uiPriority w:val="9"/>
    <w:rPr>
      <w:rFonts w:ascii="Arial" w:hAnsi="Arial" w:eastAsia="Arial" w:cs="Arial"/>
      <w:b/>
      <w:bCs/>
      <w:sz w:val="24"/>
      <w:szCs w:val="24"/>
    </w:rPr>
  </w:style>
  <w:style w:type="character" w:styleId="807" w:customStyle="1">
    <w:name w:val="Заголовок 6 Знак"/>
    <w:basedOn w:val="788"/>
    <w:link w:val="78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 w:customStyle="1">
    <w:name w:val="Heading 7 Char"/>
    <w:basedOn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 w:customStyle="1">
    <w:name w:val="Заголовок 8 Знак"/>
    <w:basedOn w:val="788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 w:customStyle="1">
    <w:name w:val="Заголовок 9 Знак"/>
    <w:basedOn w:val="788"/>
    <w:link w:val="78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 w:customStyle="1">
    <w:name w:val="Title Char"/>
    <w:basedOn w:val="788"/>
    <w:uiPriority w:val="10"/>
    <w:rPr>
      <w:sz w:val="48"/>
      <w:szCs w:val="48"/>
    </w:rPr>
  </w:style>
  <w:style w:type="paragraph" w:styleId="812">
    <w:name w:val="Subtitle"/>
    <w:basedOn w:val="778"/>
    <w:next w:val="778"/>
    <w:link w:val="813"/>
    <w:uiPriority w:val="11"/>
    <w:qFormat/>
    <w:pPr>
      <w:spacing w:before="200" w:after="200"/>
    </w:pPr>
  </w:style>
  <w:style w:type="character" w:styleId="813" w:customStyle="1">
    <w:name w:val="Подзаголовок Знак"/>
    <w:basedOn w:val="788"/>
    <w:link w:val="812"/>
    <w:uiPriority w:val="11"/>
    <w:rPr>
      <w:sz w:val="24"/>
      <w:szCs w:val="24"/>
    </w:rPr>
  </w:style>
  <w:style w:type="paragraph" w:styleId="814">
    <w:name w:val="Quote"/>
    <w:basedOn w:val="778"/>
    <w:next w:val="778"/>
    <w:link w:val="815"/>
    <w:uiPriority w:val="29"/>
    <w:qFormat/>
    <w:pPr>
      <w:ind w:left="720" w:right="720"/>
    </w:pPr>
    <w:rPr>
      <w:i/>
    </w:rPr>
  </w:style>
  <w:style w:type="character" w:styleId="815" w:customStyle="1">
    <w:name w:val="Цитата 2 Знак"/>
    <w:link w:val="814"/>
    <w:uiPriority w:val="29"/>
    <w:rPr>
      <w:i/>
    </w:rPr>
  </w:style>
  <w:style w:type="paragraph" w:styleId="816">
    <w:name w:val="Intense Quote"/>
    <w:basedOn w:val="778"/>
    <w:next w:val="778"/>
    <w:link w:val="81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7" w:customStyle="1">
    <w:name w:val="Выделенная цитата Знак"/>
    <w:link w:val="816"/>
    <w:uiPriority w:val="30"/>
    <w:rPr>
      <w:i/>
    </w:rPr>
  </w:style>
  <w:style w:type="character" w:styleId="818" w:customStyle="1">
    <w:name w:val="Header Char"/>
    <w:basedOn w:val="788"/>
    <w:uiPriority w:val="99"/>
  </w:style>
  <w:style w:type="character" w:styleId="819" w:customStyle="1">
    <w:name w:val="Footer Char"/>
    <w:basedOn w:val="788"/>
    <w:uiPriority w:val="99"/>
  </w:style>
  <w:style w:type="character" w:styleId="820" w:customStyle="1">
    <w:name w:val="Caption Char"/>
    <w:uiPriority w:val="99"/>
  </w:style>
  <w:style w:type="table" w:styleId="821">
    <w:name w:val="Table Grid"/>
    <w:basedOn w:val="78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22" w:customStyle="1">
    <w:name w:val="Table Grid Light"/>
    <w:basedOn w:val="7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3">
    <w:name w:val="Plain Table 1"/>
    <w:basedOn w:val="78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4">
    <w:name w:val="Plain Table 2"/>
    <w:basedOn w:val="78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>
    <w:name w:val="Plain Table 3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6">
    <w:name w:val="Plain Table 4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Plain Table 5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8">
    <w:name w:val="Grid Table 1 Light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4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0" w:customStyle="1">
    <w:name w:val="Grid Table 4 - Accent 1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51" w:customStyle="1">
    <w:name w:val="Grid Table 4 - Accent 2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52" w:customStyle="1">
    <w:name w:val="Grid Table 4 - Accent 3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53" w:customStyle="1">
    <w:name w:val="Grid Table 4 - Accent 4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54" w:customStyle="1">
    <w:name w:val="Grid Table 4 - Accent 5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55" w:customStyle="1">
    <w:name w:val="Grid Table 4 - Accent 6"/>
    <w:basedOn w:val="78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56">
    <w:name w:val="Grid Table 5 Dark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63">
    <w:name w:val="Grid Table 6 Colorful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4" w:customStyle="1">
    <w:name w:val="Grid Table 6 Colorful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65" w:customStyle="1">
    <w:name w:val="Grid Table 6 Colorful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66" w:customStyle="1">
    <w:name w:val="Grid Table 6 Colorful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7" w:customStyle="1">
    <w:name w:val="Grid Table 6 Colorful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8" w:customStyle="1">
    <w:name w:val="Grid Table 6 Colorful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9" w:customStyle="1">
    <w:name w:val="Grid Table 6 Colorful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70">
    <w:name w:val="Grid Table 7 Colorful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7 Colorful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7 Colorful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1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2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3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4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5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6"/>
    <w:basedOn w:val="78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91">
    <w:name w:val="List Table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5 Dark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>
    <w:name w:val="List Table 6 Colorful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3" w:customStyle="1">
    <w:name w:val="List Table 6 Colorful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14" w:customStyle="1">
    <w:name w:val="List Table 6 Colorful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15" w:customStyle="1">
    <w:name w:val="List Table 6 Colorful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16" w:customStyle="1">
    <w:name w:val="List Table 6 Colorful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7" w:customStyle="1">
    <w:name w:val="List Table 6 Colorful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8" w:customStyle="1">
    <w:name w:val="List Table 6 Colorful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9">
    <w:name w:val="List Table 7 Colorful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7 Colorful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7 Colorful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ned - Accent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7" w:customStyle="1">
    <w:name w:val="Lined - Accent 1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8" w:customStyle="1">
    <w:name w:val="Lined - Accent 2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9" w:customStyle="1">
    <w:name w:val="Lined - Accent 3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0" w:customStyle="1">
    <w:name w:val="Lined - Accent 4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1" w:customStyle="1">
    <w:name w:val="Lined - Accent 5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2" w:customStyle="1">
    <w:name w:val="Lined - Accent 6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3" w:customStyle="1">
    <w:name w:val="Bordered &amp; Lined - Accent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4" w:customStyle="1">
    <w:name w:val="Bordered &amp; Lined - Accent 1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35" w:customStyle="1">
    <w:name w:val="Bordered &amp; Lined - Accent 2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36" w:customStyle="1">
    <w:name w:val="Bordered &amp; Lined - Accent 3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7" w:customStyle="1">
    <w:name w:val="Bordered &amp; Lined - Accent 4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8" w:customStyle="1">
    <w:name w:val="Bordered &amp; Lined - Accent 5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9" w:customStyle="1">
    <w:name w:val="Bordered &amp; Lined - Accent 6"/>
    <w:basedOn w:val="78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0" w:customStyle="1">
    <w:name w:val="Bordered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1" w:customStyle="1">
    <w:name w:val="Bordered - Accent 1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42" w:customStyle="1">
    <w:name w:val="Bordered - Accent 2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43" w:customStyle="1">
    <w:name w:val="Bordered - Accent 3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44" w:customStyle="1">
    <w:name w:val="Bordered - Accent 4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45" w:customStyle="1">
    <w:name w:val="Bordered - Accent 5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46" w:customStyle="1">
    <w:name w:val="Bordered - Accent 6"/>
    <w:basedOn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47">
    <w:name w:val="footnote text"/>
    <w:basedOn w:val="778"/>
    <w:link w:val="948"/>
    <w:uiPriority w:val="99"/>
    <w:semiHidden/>
    <w:unhideWhenUsed/>
    <w:pPr>
      <w:spacing w:after="40"/>
    </w:pPr>
    <w:rPr>
      <w:sz w:val="18"/>
    </w:rPr>
  </w:style>
  <w:style w:type="character" w:styleId="948" w:customStyle="1">
    <w:name w:val="Текст сноски Знак"/>
    <w:link w:val="947"/>
    <w:uiPriority w:val="99"/>
    <w:rPr>
      <w:sz w:val="18"/>
    </w:rPr>
  </w:style>
  <w:style w:type="character" w:styleId="949">
    <w:name w:val="footnote reference"/>
    <w:basedOn w:val="788"/>
    <w:uiPriority w:val="99"/>
    <w:unhideWhenUsed/>
    <w:rPr>
      <w:vertAlign w:val="superscript"/>
    </w:rPr>
  </w:style>
  <w:style w:type="paragraph" w:styleId="950">
    <w:name w:val="endnote text"/>
    <w:basedOn w:val="778"/>
    <w:link w:val="951"/>
    <w:uiPriority w:val="99"/>
    <w:semiHidden/>
    <w:unhideWhenUsed/>
    <w:rPr>
      <w:sz w:val="20"/>
    </w:rPr>
  </w:style>
  <w:style w:type="character" w:styleId="951" w:customStyle="1">
    <w:name w:val="Текст концевой сноски Знак"/>
    <w:link w:val="950"/>
    <w:uiPriority w:val="99"/>
    <w:rPr>
      <w:sz w:val="20"/>
    </w:rPr>
  </w:style>
  <w:style w:type="character" w:styleId="952">
    <w:name w:val="endnote reference"/>
    <w:basedOn w:val="788"/>
    <w:uiPriority w:val="99"/>
    <w:semiHidden/>
    <w:unhideWhenUsed/>
    <w:rPr>
      <w:vertAlign w:val="superscript"/>
    </w:rPr>
  </w:style>
  <w:style w:type="paragraph" w:styleId="953">
    <w:name w:val="toc 1"/>
    <w:basedOn w:val="778"/>
    <w:next w:val="778"/>
    <w:uiPriority w:val="39"/>
    <w:unhideWhenUsed/>
    <w:pPr>
      <w:spacing w:after="57"/>
    </w:pPr>
  </w:style>
  <w:style w:type="paragraph" w:styleId="954">
    <w:name w:val="toc 2"/>
    <w:basedOn w:val="778"/>
    <w:next w:val="778"/>
    <w:uiPriority w:val="39"/>
    <w:unhideWhenUsed/>
    <w:pPr>
      <w:ind w:left="283"/>
      <w:spacing w:after="57"/>
    </w:pPr>
  </w:style>
  <w:style w:type="paragraph" w:styleId="955">
    <w:name w:val="toc 3"/>
    <w:basedOn w:val="778"/>
    <w:next w:val="778"/>
    <w:uiPriority w:val="39"/>
    <w:unhideWhenUsed/>
    <w:pPr>
      <w:ind w:left="567"/>
      <w:spacing w:after="57"/>
    </w:pPr>
  </w:style>
  <w:style w:type="paragraph" w:styleId="956">
    <w:name w:val="toc 4"/>
    <w:basedOn w:val="778"/>
    <w:next w:val="778"/>
    <w:uiPriority w:val="39"/>
    <w:unhideWhenUsed/>
    <w:pPr>
      <w:ind w:left="850"/>
      <w:spacing w:after="57"/>
    </w:pPr>
  </w:style>
  <w:style w:type="paragraph" w:styleId="957">
    <w:name w:val="toc 5"/>
    <w:basedOn w:val="778"/>
    <w:next w:val="778"/>
    <w:uiPriority w:val="39"/>
    <w:unhideWhenUsed/>
    <w:pPr>
      <w:ind w:left="1134"/>
      <w:spacing w:after="57"/>
    </w:pPr>
  </w:style>
  <w:style w:type="paragraph" w:styleId="958">
    <w:name w:val="toc 7"/>
    <w:basedOn w:val="778"/>
    <w:next w:val="778"/>
    <w:uiPriority w:val="39"/>
    <w:unhideWhenUsed/>
    <w:pPr>
      <w:ind w:left="1701"/>
      <w:spacing w:after="57"/>
    </w:pPr>
  </w:style>
  <w:style w:type="paragraph" w:styleId="959">
    <w:name w:val="toc 8"/>
    <w:basedOn w:val="778"/>
    <w:next w:val="778"/>
    <w:uiPriority w:val="39"/>
    <w:unhideWhenUsed/>
    <w:pPr>
      <w:ind w:left="1984"/>
      <w:spacing w:after="57"/>
    </w:pPr>
  </w:style>
  <w:style w:type="paragraph" w:styleId="960">
    <w:name w:val="toc 9"/>
    <w:basedOn w:val="778"/>
    <w:next w:val="778"/>
    <w:uiPriority w:val="39"/>
    <w:unhideWhenUsed/>
    <w:pPr>
      <w:ind w:left="2268"/>
      <w:spacing w:after="57"/>
    </w:pPr>
  </w:style>
  <w:style w:type="paragraph" w:styleId="961">
    <w:name w:val="TOC Heading"/>
    <w:uiPriority w:val="39"/>
    <w:unhideWhenUsed/>
  </w:style>
  <w:style w:type="paragraph" w:styleId="962">
    <w:name w:val="table of figures"/>
    <w:basedOn w:val="778"/>
    <w:next w:val="778"/>
    <w:uiPriority w:val="99"/>
    <w:unhideWhenUsed/>
  </w:style>
  <w:style w:type="character" w:styleId="963" w:customStyle="1">
    <w:name w:val="Заголовок 5 Знак"/>
    <w:basedOn w:val="788"/>
    <w:link w:val="783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64" w:customStyle="1">
    <w:name w:val="Заголовок 7 Знак"/>
    <w:basedOn w:val="788"/>
    <w:link w:val="785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65">
    <w:name w:val="Footer"/>
    <w:basedOn w:val="778"/>
    <w:link w:val="96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66" w:customStyle="1">
    <w:name w:val="Нижний колонтитул Знак"/>
    <w:basedOn w:val="788"/>
    <w:link w:val="96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67">
    <w:name w:val="page number"/>
    <w:basedOn w:val="788"/>
  </w:style>
  <w:style w:type="paragraph" w:styleId="968">
    <w:name w:val="Header"/>
    <w:basedOn w:val="778"/>
    <w:link w:val="9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9" w:customStyle="1">
    <w:name w:val="Верхний колонтитул Знак"/>
    <w:basedOn w:val="788"/>
    <w:link w:val="96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No Spacing"/>
    <w:link w:val="1008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1">
    <w:name w:val="List Paragraph"/>
    <w:basedOn w:val="778"/>
    <w:link w:val="998"/>
    <w:uiPriority w:val="34"/>
    <w:qFormat/>
    <w:pPr>
      <w:contextualSpacing/>
      <w:ind w:left="720"/>
    </w:pPr>
  </w:style>
  <w:style w:type="paragraph" w:styleId="972">
    <w:name w:val="Balloon Text"/>
    <w:basedOn w:val="778"/>
    <w:link w:val="97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73" w:customStyle="1">
    <w:name w:val="Текст выноски Знак"/>
    <w:basedOn w:val="788"/>
    <w:link w:val="97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74">
    <w:name w:val="Hyperlink"/>
    <w:uiPriority w:val="99"/>
    <w:rPr>
      <w:color w:val="0000ff"/>
      <w:u w:val="single"/>
    </w:rPr>
  </w:style>
  <w:style w:type="paragraph" w:styleId="975">
    <w:name w:val="Caption"/>
    <w:basedOn w:val="778"/>
    <w:next w:val="778"/>
    <w:link w:val="820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76">
    <w:name w:val="FollowedHyperlink"/>
    <w:basedOn w:val="788"/>
    <w:uiPriority w:val="99"/>
    <w:semiHidden/>
    <w:unhideWhenUsed/>
    <w:rPr>
      <w:color w:val="954f72" w:themeColor="followedHyperlink"/>
      <w:u w:val="single"/>
    </w:rPr>
  </w:style>
  <w:style w:type="paragraph" w:styleId="977">
    <w:name w:val="Body Text Indent"/>
    <w:basedOn w:val="778"/>
    <w:link w:val="978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78" w:customStyle="1">
    <w:name w:val="Основной текст с отступом Знак"/>
    <w:basedOn w:val="788"/>
    <w:link w:val="977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79" w:customStyle="1">
    <w:name w:val="Подпункт"/>
    <w:basedOn w:val="778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80" w:customStyle="1">
    <w:name w:val="Таблица шапка"/>
    <w:basedOn w:val="778"/>
    <w:pPr>
      <w:ind w:left="57" w:right="57"/>
      <w:keepNext/>
      <w:spacing w:before="40" w:after="40"/>
    </w:pPr>
    <w:rPr>
      <w:sz w:val="22"/>
      <w:szCs w:val="20"/>
    </w:rPr>
  </w:style>
  <w:style w:type="paragraph" w:styleId="981" w:customStyle="1">
    <w:name w:val="Таблица текст"/>
    <w:basedOn w:val="778"/>
    <w:pPr>
      <w:ind w:left="57" w:right="57"/>
      <w:spacing w:before="40" w:after="40"/>
    </w:pPr>
    <w:rPr>
      <w:szCs w:val="20"/>
    </w:rPr>
  </w:style>
  <w:style w:type="paragraph" w:styleId="982" w:customStyle="1">
    <w:name w:val="Times 12"/>
    <w:basedOn w:val="778"/>
    <w:pPr>
      <w:ind w:firstLine="567"/>
      <w:jc w:val="both"/>
    </w:pPr>
    <w:rPr>
      <w:szCs w:val="20"/>
      <w:lang w:eastAsia="ar-SA"/>
    </w:rPr>
  </w:style>
  <w:style w:type="paragraph" w:styleId="983" w:customStyle="1">
    <w:name w:val="StGen0"/>
    <w:basedOn w:val="778"/>
    <w:next w:val="986"/>
    <w:link w:val="984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84" w:customStyle="1">
    <w:name w:val="Название Знак"/>
    <w:link w:val="983"/>
    <w:rPr>
      <w:rFonts w:eastAsia="MS Mincho"/>
      <w:b/>
      <w:sz w:val="28"/>
      <w:lang w:val="ru-RU" w:eastAsia="ru-RU" w:bidi="ar-SA"/>
    </w:rPr>
  </w:style>
  <w:style w:type="paragraph" w:styleId="985" w:customStyle="1">
    <w:name w:val="Пункт б/н"/>
    <w:basedOn w:val="778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86">
    <w:name w:val="Title"/>
    <w:basedOn w:val="778"/>
    <w:next w:val="778"/>
    <w:link w:val="98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7" w:customStyle="1">
    <w:name w:val="Заголовок Знак"/>
    <w:basedOn w:val="788"/>
    <w:link w:val="98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88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9" w:customStyle="1">
    <w:name w:val="Абзац списка1"/>
    <w:basedOn w:val="778"/>
    <w:link w:val="990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90" w:customStyle="1">
    <w:name w:val="List Paragraph Char"/>
    <w:link w:val="989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91" w:customStyle="1">
    <w:name w:val="Заголовок 2 Знак"/>
    <w:basedOn w:val="788"/>
    <w:link w:val="780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92" w:customStyle="1">
    <w:name w:val="StGen1"/>
    <w:basedOn w:val="778"/>
    <w:next w:val="986"/>
    <w:qFormat/>
    <w:pPr>
      <w:jc w:val="center"/>
    </w:pPr>
    <w:rPr>
      <w:b/>
      <w:sz w:val="28"/>
      <w:szCs w:val="20"/>
    </w:rPr>
  </w:style>
  <w:style w:type="character" w:styleId="993">
    <w:name w:val="annotation reference"/>
    <w:basedOn w:val="788"/>
    <w:uiPriority w:val="99"/>
    <w:unhideWhenUsed/>
    <w:rPr>
      <w:sz w:val="16"/>
      <w:szCs w:val="16"/>
    </w:rPr>
  </w:style>
  <w:style w:type="paragraph" w:styleId="994">
    <w:name w:val="annotation text"/>
    <w:basedOn w:val="778"/>
    <w:link w:val="995"/>
    <w:uiPriority w:val="99"/>
    <w:unhideWhenUsed/>
    <w:rPr>
      <w:sz w:val="20"/>
      <w:szCs w:val="20"/>
    </w:rPr>
  </w:style>
  <w:style w:type="character" w:styleId="995" w:customStyle="1">
    <w:name w:val="Текст примечания Знак"/>
    <w:basedOn w:val="788"/>
    <w:link w:val="99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6">
    <w:name w:val="annotation subject"/>
    <w:basedOn w:val="994"/>
    <w:next w:val="994"/>
    <w:link w:val="997"/>
    <w:uiPriority w:val="99"/>
    <w:semiHidden/>
    <w:unhideWhenUsed/>
    <w:rPr>
      <w:b/>
      <w:bCs/>
    </w:rPr>
  </w:style>
  <w:style w:type="character" w:styleId="997" w:customStyle="1">
    <w:name w:val="Тема примечания Знак"/>
    <w:basedOn w:val="995"/>
    <w:link w:val="99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8" w:customStyle="1">
    <w:name w:val="Абзац списка Знак"/>
    <w:basedOn w:val="788"/>
    <w:link w:val="97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9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00" w:customStyle="1">
    <w:name w:val="2-з"/>
    <w:basedOn w:val="778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01" w:customStyle="1">
    <w:name w:val="3-з"/>
    <w:link w:val="1007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02" w:customStyle="1">
    <w:name w:val="нумерация"/>
    <w:uiPriority w:val="99"/>
    <w:pPr>
      <w:numPr>
        <w:ilvl w:val="0"/>
        <w:numId w:val="23"/>
      </w:numPr>
    </w:pPr>
  </w:style>
  <w:style w:type="paragraph" w:styleId="1003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04" w:customStyle="1">
    <w:name w:val="5-з"/>
    <w:basedOn w:val="778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1005" w:customStyle="1">
    <w:name w:val="6-буквы"/>
    <w:basedOn w:val="778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1006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07" w:customStyle="1">
    <w:name w:val="3-з Знак"/>
    <w:basedOn w:val="788"/>
    <w:link w:val="1001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08" w:customStyle="1">
    <w:name w:val="Без интервала Знак"/>
    <w:link w:val="97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9">
    <w:name w:val="toc 6"/>
    <w:basedOn w:val="778"/>
    <w:next w:val="778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1010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11">
    <w:name w:val="Body Text Indent 3"/>
    <w:basedOn w:val="778"/>
    <w:link w:val="1012"/>
    <w:uiPriority w:val="99"/>
    <w:pPr>
      <w:ind w:left="283"/>
      <w:spacing w:after="120"/>
    </w:pPr>
    <w:rPr>
      <w:sz w:val="16"/>
      <w:szCs w:val="16"/>
    </w:rPr>
  </w:style>
  <w:style w:type="character" w:styleId="1012" w:customStyle="1">
    <w:name w:val="Основной текст с отступом 3 Знак"/>
    <w:basedOn w:val="788"/>
    <w:link w:val="1011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3">
    <w:name w:val="Normal (Web)"/>
    <w:basedOn w:val="778"/>
    <w:pPr>
      <w:numPr>
        <w:ilvl w:val="1"/>
        <w:numId w:val="27"/>
      </w:numPr>
      <w:spacing w:before="100" w:beforeAutospacing="1" w:after="100" w:afterAutospacing="1"/>
    </w:pPr>
    <w:rPr>
      <w:rFonts w:eastAsia="Arial Unicode MS"/>
      <w:color w:val="000000"/>
      <w:sz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58D4B-D5EA-4EC7-92DC-E7C9CDA9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Kugeneva-TA</cp:lastModifiedBy>
  <cp:revision>21</cp:revision>
  <dcterms:created xsi:type="dcterms:W3CDTF">2024-03-28T04:21:00Z</dcterms:created>
  <dcterms:modified xsi:type="dcterms:W3CDTF">2026-07-31T03:32:30Z</dcterms:modified>
</cp:coreProperties>
</file>